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98F7" w14:textId="77777777" w:rsidR="00BB05E3" w:rsidRDefault="00BB05E3">
      <w:pPr>
        <w:pStyle w:val="Normal1"/>
        <w:rPr>
          <w:sz w:val="23"/>
          <w:szCs w:val="23"/>
        </w:rPr>
      </w:pPr>
      <w:bookmarkStart w:id="0" w:name="_GoBack"/>
      <w:bookmarkEnd w:id="0"/>
    </w:p>
    <w:p w14:paraId="473E3EEE" w14:textId="77777777" w:rsidR="00BB05E3" w:rsidRDefault="005B7A5E">
      <w:pPr>
        <w:pStyle w:val="Normal1"/>
        <w:rPr>
          <w:sz w:val="23"/>
          <w:szCs w:val="23"/>
        </w:rPr>
      </w:pPr>
      <w:r>
        <w:rPr>
          <w:sz w:val="23"/>
          <w:szCs w:val="23"/>
        </w:rPr>
        <w:t>Dear [trade or foreign minister],</w:t>
      </w:r>
    </w:p>
    <w:p w14:paraId="3A010C66" w14:textId="77777777" w:rsidR="00BB05E3" w:rsidRDefault="00BB05E3">
      <w:pPr>
        <w:pStyle w:val="Normal1"/>
        <w:rPr>
          <w:sz w:val="23"/>
          <w:szCs w:val="23"/>
        </w:rPr>
      </w:pPr>
    </w:p>
    <w:p w14:paraId="5E06FE5E" w14:textId="27B0292D" w:rsidR="00561D2A" w:rsidRDefault="00FF3C7B" w:rsidP="005B321E">
      <w:pPr>
        <w:rPr>
          <w:sz w:val="23"/>
          <w:szCs w:val="23"/>
        </w:rPr>
      </w:pPr>
      <w:r>
        <w:rPr>
          <w:sz w:val="23"/>
          <w:szCs w:val="23"/>
        </w:rPr>
        <w:t>As public sector unions</w:t>
      </w:r>
      <w:r w:rsidR="008F1AB2">
        <w:rPr>
          <w:sz w:val="23"/>
          <w:szCs w:val="23"/>
        </w:rPr>
        <w:t xml:space="preserve"> </w:t>
      </w:r>
      <w:r w:rsidR="00F16509">
        <w:rPr>
          <w:sz w:val="23"/>
          <w:szCs w:val="23"/>
        </w:rPr>
        <w:t>committed to</w:t>
      </w:r>
      <w:r w:rsidR="008F1AB2">
        <w:rPr>
          <w:sz w:val="23"/>
          <w:szCs w:val="23"/>
        </w:rPr>
        <w:t xml:space="preserve"> pr</w:t>
      </w:r>
      <w:r w:rsidR="00F16509">
        <w:rPr>
          <w:sz w:val="23"/>
          <w:szCs w:val="23"/>
        </w:rPr>
        <w:t xml:space="preserve">omoting laws and policies that </w:t>
      </w:r>
      <w:r w:rsidR="00561D2A">
        <w:rPr>
          <w:sz w:val="23"/>
          <w:szCs w:val="23"/>
        </w:rPr>
        <w:t>protect workers and the environment</w:t>
      </w:r>
      <w:r w:rsidR="00F16509">
        <w:rPr>
          <w:sz w:val="23"/>
          <w:szCs w:val="23"/>
        </w:rPr>
        <w:t xml:space="preserve"> and ensuring a financially strong public sector</w:t>
      </w:r>
      <w:r w:rsidR="00561D2A">
        <w:rPr>
          <w:sz w:val="23"/>
          <w:szCs w:val="23"/>
        </w:rPr>
        <w:t xml:space="preserve">, we write to reiterate our longstanding opposition </w:t>
      </w:r>
      <w:r w:rsidR="00561D2A" w:rsidRPr="00561D2A">
        <w:rPr>
          <w:sz w:val="23"/>
          <w:szCs w:val="23"/>
        </w:rPr>
        <w:t xml:space="preserve">the investor-state dispute settlement (ISDS) regime and the far-reaching rights for foreign investors enshrined in trade and investment treaties.  We specifically wish to </w:t>
      </w:r>
      <w:r w:rsidR="00561D2A">
        <w:rPr>
          <w:sz w:val="23"/>
          <w:szCs w:val="23"/>
        </w:rPr>
        <w:t>share recommendations for our government’s engagement in the ISDS reform process being undertaken in</w:t>
      </w:r>
      <w:r w:rsidR="005B321E" w:rsidRPr="00A171D0">
        <w:rPr>
          <w:sz w:val="23"/>
          <w:szCs w:val="23"/>
        </w:rPr>
        <w:t xml:space="preserve"> </w:t>
      </w:r>
      <w:r w:rsidR="005B321E">
        <w:rPr>
          <w:sz w:val="23"/>
          <w:szCs w:val="23"/>
        </w:rPr>
        <w:t>W</w:t>
      </w:r>
      <w:r w:rsidR="005B321E" w:rsidRPr="00A171D0">
        <w:rPr>
          <w:sz w:val="23"/>
          <w:szCs w:val="23"/>
        </w:rPr>
        <w:t xml:space="preserve">orking </w:t>
      </w:r>
      <w:r w:rsidR="005B321E">
        <w:rPr>
          <w:sz w:val="23"/>
          <w:szCs w:val="23"/>
        </w:rPr>
        <w:t>G</w:t>
      </w:r>
      <w:r w:rsidR="005B321E" w:rsidRPr="00A171D0">
        <w:rPr>
          <w:sz w:val="23"/>
          <w:szCs w:val="23"/>
        </w:rPr>
        <w:t xml:space="preserve">roup </w:t>
      </w:r>
      <w:r w:rsidR="005B321E">
        <w:rPr>
          <w:sz w:val="23"/>
          <w:szCs w:val="23"/>
        </w:rPr>
        <w:t xml:space="preserve">III </w:t>
      </w:r>
      <w:r w:rsidR="005B321E" w:rsidRPr="00A171D0">
        <w:rPr>
          <w:sz w:val="23"/>
          <w:szCs w:val="23"/>
        </w:rPr>
        <w:t>of the UN Commission on International Trade Law (UNCITRAL)</w:t>
      </w:r>
      <w:r w:rsidR="00561D2A">
        <w:rPr>
          <w:sz w:val="23"/>
          <w:szCs w:val="23"/>
        </w:rPr>
        <w:t>.</w:t>
      </w:r>
      <w:r w:rsidR="005B321E" w:rsidRPr="00A171D0">
        <w:rPr>
          <w:sz w:val="23"/>
          <w:szCs w:val="23"/>
        </w:rPr>
        <w:t xml:space="preserve"> </w:t>
      </w:r>
    </w:p>
    <w:p w14:paraId="65671144" w14:textId="77777777" w:rsidR="00BB05E3" w:rsidRDefault="00BB05E3">
      <w:pPr>
        <w:pStyle w:val="Normal1"/>
        <w:rPr>
          <w:sz w:val="23"/>
          <w:szCs w:val="23"/>
        </w:rPr>
      </w:pPr>
    </w:p>
    <w:p w14:paraId="3E0E5CC8" w14:textId="72465958" w:rsidR="00BB05E3" w:rsidRDefault="00561D2A"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UNCITRAL’s </w:t>
      </w:r>
      <w:r w:rsidR="00F1763E">
        <w:rPr>
          <w:sz w:val="23"/>
          <w:szCs w:val="23"/>
        </w:rPr>
        <w:t xml:space="preserve">Working Group III </w:t>
      </w:r>
      <w:r w:rsidR="005B7A5E">
        <w:rPr>
          <w:sz w:val="23"/>
          <w:szCs w:val="23"/>
        </w:rPr>
        <w:t xml:space="preserve">is comprised of a broad range of countries, many of </w:t>
      </w:r>
      <w:r w:rsidR="00F92C12" w:rsidRPr="00A171D0">
        <w:rPr>
          <w:sz w:val="23"/>
          <w:szCs w:val="23"/>
        </w:rPr>
        <w:t xml:space="preserve">which have </w:t>
      </w:r>
      <w:r w:rsidR="00F92C12">
        <w:rPr>
          <w:sz w:val="23"/>
          <w:szCs w:val="23"/>
        </w:rPr>
        <w:t xml:space="preserve">faced costly litigation defending </w:t>
      </w:r>
      <w:r w:rsidR="00F92C12" w:rsidRPr="00A171D0">
        <w:rPr>
          <w:sz w:val="23"/>
          <w:szCs w:val="23"/>
        </w:rPr>
        <w:t>legitimate, non-discriminatory, and legal decisions to protect the public interest</w:t>
      </w:r>
      <w:r w:rsidR="00F92C12">
        <w:rPr>
          <w:sz w:val="23"/>
          <w:szCs w:val="23"/>
        </w:rPr>
        <w:t xml:space="preserve"> from challenge by foreign investors before </w:t>
      </w:r>
      <w:r w:rsidR="00F92C12" w:rsidRPr="00A171D0">
        <w:rPr>
          <w:sz w:val="23"/>
          <w:szCs w:val="23"/>
        </w:rPr>
        <w:t>arbitration panels</w:t>
      </w:r>
      <w:r w:rsidR="005B7A5E">
        <w:rPr>
          <w:sz w:val="23"/>
          <w:szCs w:val="23"/>
        </w:rPr>
        <w:t xml:space="preserve">.  </w:t>
      </w:r>
      <w:r w:rsidR="00F16509">
        <w:rPr>
          <w:sz w:val="23"/>
          <w:szCs w:val="23"/>
        </w:rPr>
        <w:t>Already</w:t>
      </w:r>
      <w:r w:rsidR="002024B4">
        <w:rPr>
          <w:sz w:val="23"/>
          <w:szCs w:val="23"/>
        </w:rPr>
        <w:t>-</w:t>
      </w:r>
      <w:r w:rsidR="00F16509">
        <w:rPr>
          <w:sz w:val="23"/>
          <w:szCs w:val="23"/>
        </w:rPr>
        <w:t xml:space="preserve">strapped public budgets have had to pay billions in taxpayer money to multinational corporations over public interest policies, including </w:t>
      </w:r>
      <w:r w:rsidR="009408F2" w:rsidRPr="009408F2">
        <w:rPr>
          <w:sz w:val="23"/>
          <w:szCs w:val="23"/>
        </w:rPr>
        <w:t>toxics bans, land-use rules, regulatory permits, water and timber policies and more.</w:t>
      </w:r>
      <w:r w:rsidR="009408F2">
        <w:rPr>
          <w:sz w:val="23"/>
          <w:szCs w:val="23"/>
        </w:rPr>
        <w:t xml:space="preserve"> </w:t>
      </w:r>
      <w:r w:rsidR="00F92C12">
        <w:rPr>
          <w:sz w:val="23"/>
          <w:szCs w:val="23"/>
        </w:rPr>
        <w:t>With good reason, ISDS has become exceedingly</w:t>
      </w:r>
      <w:r w:rsidR="0059536B">
        <w:rPr>
          <w:sz w:val="23"/>
          <w:szCs w:val="23"/>
        </w:rPr>
        <w:t xml:space="preserve"> controversial </w:t>
      </w:r>
      <w:r w:rsidR="00716389">
        <w:rPr>
          <w:sz w:val="23"/>
          <w:szCs w:val="23"/>
        </w:rPr>
        <w:t xml:space="preserve">around </w:t>
      </w:r>
      <w:r w:rsidR="0059536B">
        <w:rPr>
          <w:sz w:val="23"/>
          <w:szCs w:val="23"/>
        </w:rPr>
        <w:t>the globe.</w:t>
      </w:r>
    </w:p>
    <w:p w14:paraId="1BB34C02" w14:textId="77777777" w:rsidR="00561D2A" w:rsidRDefault="00561D2A" w:rsidP="00561D2A">
      <w:pPr>
        <w:rPr>
          <w:sz w:val="23"/>
          <w:szCs w:val="23"/>
        </w:rPr>
      </w:pPr>
    </w:p>
    <w:p w14:paraId="6A7E0FC5" w14:textId="3D79DF3C" w:rsidR="00C75B5E" w:rsidRPr="00A171D0" w:rsidRDefault="0022476C" w:rsidP="00557F8E">
      <w:pPr>
        <w:pStyle w:val="Normal1"/>
        <w:rPr>
          <w:sz w:val="23"/>
          <w:szCs w:val="23"/>
        </w:rPr>
      </w:pPr>
      <w:r w:rsidRPr="00A171D0">
        <w:rPr>
          <w:sz w:val="23"/>
          <w:szCs w:val="23"/>
        </w:rPr>
        <w:t>Although the mandate of the working gro</w:t>
      </w:r>
      <w:r w:rsidR="0019575F">
        <w:rPr>
          <w:sz w:val="23"/>
          <w:szCs w:val="23"/>
        </w:rPr>
        <w:t>up is broad and allows for a</w:t>
      </w:r>
      <w:r w:rsidR="00C75B5E">
        <w:rPr>
          <w:sz w:val="23"/>
          <w:szCs w:val="23"/>
        </w:rPr>
        <w:t xml:space="preserve"> wide</w:t>
      </w:r>
      <w:r w:rsidRPr="00A171D0">
        <w:rPr>
          <w:sz w:val="23"/>
          <w:szCs w:val="23"/>
        </w:rPr>
        <w:t xml:space="preserve"> range of possible solutions to the problems of ISDS,</w:t>
      </w:r>
      <w:r w:rsidRPr="00A171D0">
        <w:rPr>
          <w:rStyle w:val="FootnoteReference"/>
          <w:sz w:val="23"/>
          <w:szCs w:val="23"/>
        </w:rPr>
        <w:footnoteReference w:id="1"/>
      </w:r>
      <w:r w:rsidRPr="00A171D0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Pr="00A171D0">
        <w:rPr>
          <w:sz w:val="23"/>
          <w:szCs w:val="23"/>
        </w:rPr>
        <w:t xml:space="preserve">he European Union </w:t>
      </w:r>
      <w:r>
        <w:rPr>
          <w:sz w:val="23"/>
          <w:szCs w:val="23"/>
        </w:rPr>
        <w:t>is actively pushing for</w:t>
      </w:r>
      <w:r w:rsidRPr="00A171D0">
        <w:rPr>
          <w:sz w:val="23"/>
          <w:szCs w:val="23"/>
        </w:rPr>
        <w:t xml:space="preserve"> this working group </w:t>
      </w:r>
      <w:r>
        <w:rPr>
          <w:sz w:val="23"/>
          <w:szCs w:val="23"/>
        </w:rPr>
        <w:t>to</w:t>
      </w:r>
      <w:r w:rsidRPr="00A171D0">
        <w:rPr>
          <w:sz w:val="23"/>
          <w:szCs w:val="23"/>
        </w:rPr>
        <w:t xml:space="preserve"> conclude with a mandate </w:t>
      </w:r>
      <w:r>
        <w:rPr>
          <w:sz w:val="23"/>
          <w:szCs w:val="23"/>
        </w:rPr>
        <w:t xml:space="preserve">to </w:t>
      </w:r>
      <w:r w:rsidR="00134710">
        <w:rPr>
          <w:sz w:val="23"/>
          <w:szCs w:val="23"/>
        </w:rPr>
        <w:t xml:space="preserve">negotiate </w:t>
      </w:r>
      <w:r w:rsidRPr="00A171D0">
        <w:rPr>
          <w:sz w:val="23"/>
          <w:szCs w:val="23"/>
        </w:rPr>
        <w:t xml:space="preserve">a </w:t>
      </w:r>
      <w:r w:rsidR="009408F2">
        <w:rPr>
          <w:sz w:val="23"/>
          <w:szCs w:val="23"/>
        </w:rPr>
        <w:t xml:space="preserve">“multilateral investment court” </w:t>
      </w:r>
      <w:r w:rsidR="005C3BA6">
        <w:rPr>
          <w:sz w:val="23"/>
          <w:szCs w:val="23"/>
        </w:rPr>
        <w:t>(</w:t>
      </w:r>
      <w:r w:rsidR="0089427E">
        <w:rPr>
          <w:sz w:val="23"/>
          <w:szCs w:val="23"/>
        </w:rPr>
        <w:t>MIC</w:t>
      </w:r>
      <w:r w:rsidR="005C3BA6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Pr="00A171D0">
        <w:rPr>
          <w:rStyle w:val="FootnoteReference"/>
          <w:sz w:val="23"/>
          <w:szCs w:val="23"/>
        </w:rPr>
        <w:footnoteReference w:id="2"/>
      </w:r>
      <w:r w:rsidRPr="00A171D0">
        <w:rPr>
          <w:sz w:val="23"/>
          <w:szCs w:val="23"/>
        </w:rPr>
        <w:t xml:space="preserve"> </w:t>
      </w:r>
      <w:r w:rsidR="00A526BA">
        <w:rPr>
          <w:sz w:val="23"/>
          <w:szCs w:val="23"/>
        </w:rPr>
        <w:t>Th</w:t>
      </w:r>
      <w:r w:rsidR="0056624B">
        <w:rPr>
          <w:sz w:val="23"/>
          <w:szCs w:val="23"/>
        </w:rPr>
        <w:t>e EU’s proposal</w:t>
      </w:r>
      <w:r w:rsidR="00A526BA">
        <w:rPr>
          <w:sz w:val="23"/>
          <w:szCs w:val="23"/>
        </w:rPr>
        <w:t xml:space="preserve"> would do little to solve the core problems of ISDS </w:t>
      </w:r>
      <w:r w:rsidR="00C75B5E">
        <w:rPr>
          <w:sz w:val="23"/>
          <w:szCs w:val="23"/>
        </w:rPr>
        <w:t xml:space="preserve">and </w:t>
      </w:r>
      <w:r w:rsidR="00A526BA">
        <w:rPr>
          <w:sz w:val="23"/>
          <w:szCs w:val="23"/>
        </w:rPr>
        <w:t>instead would entrench this controversial system.</w:t>
      </w:r>
      <w:r w:rsidR="00A526BA">
        <w:rPr>
          <w:sz w:val="23"/>
          <w:szCs w:val="23"/>
          <w:vertAlign w:val="superscript"/>
        </w:rPr>
        <w:footnoteReference w:id="3"/>
      </w:r>
      <w:r w:rsidR="00C75B5E">
        <w:rPr>
          <w:sz w:val="23"/>
          <w:szCs w:val="23"/>
        </w:rPr>
        <w:t xml:space="preserve"> </w:t>
      </w:r>
      <w:r w:rsidR="00C75B5E" w:rsidRPr="00A171D0">
        <w:rPr>
          <w:sz w:val="23"/>
          <w:szCs w:val="23"/>
        </w:rPr>
        <w:t>What’s more, a recent decision by the European Court of Justice calls into question whether ISDS</w:t>
      </w:r>
      <w:r w:rsidR="00C75B5E">
        <w:rPr>
          <w:sz w:val="23"/>
          <w:szCs w:val="23"/>
        </w:rPr>
        <w:t xml:space="preserve"> and by extension a </w:t>
      </w:r>
      <w:r w:rsidR="00175338">
        <w:rPr>
          <w:sz w:val="23"/>
          <w:szCs w:val="23"/>
        </w:rPr>
        <w:t xml:space="preserve">MIC </w:t>
      </w:r>
      <w:r w:rsidR="00C75B5E" w:rsidRPr="00A171D0">
        <w:rPr>
          <w:sz w:val="23"/>
          <w:szCs w:val="23"/>
        </w:rPr>
        <w:t>is even legal under EU law.</w:t>
      </w:r>
      <w:r w:rsidR="00C75B5E" w:rsidRPr="00A171D0">
        <w:rPr>
          <w:rStyle w:val="FootnoteReference"/>
          <w:sz w:val="23"/>
          <w:szCs w:val="23"/>
        </w:rPr>
        <w:footnoteReference w:id="4"/>
      </w:r>
    </w:p>
    <w:p w14:paraId="5A919E17" w14:textId="748697E5" w:rsidR="00BB05E3" w:rsidRDefault="00BB05E3">
      <w:pPr>
        <w:pStyle w:val="Normal1"/>
        <w:rPr>
          <w:sz w:val="23"/>
          <w:szCs w:val="23"/>
        </w:rPr>
      </w:pPr>
    </w:p>
    <w:p w14:paraId="735A4D70" w14:textId="0775C8CF" w:rsidR="0056624B" w:rsidRDefault="005B7A5E">
      <w:pPr>
        <w:pStyle w:val="Normal1"/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>As the UN Conference on Trade and Development (UNCTAD) has identified, there are a variety of ways to address the problems caused by existing investment agreements.</w:t>
      </w:r>
      <w:r>
        <w:rPr>
          <w:sz w:val="23"/>
          <w:szCs w:val="23"/>
          <w:vertAlign w:val="superscript"/>
        </w:rPr>
        <w:footnoteReference w:id="5"/>
      </w:r>
      <w:r>
        <w:rPr>
          <w:sz w:val="23"/>
          <w:szCs w:val="23"/>
        </w:rPr>
        <w:t xml:space="preserve"> </w:t>
      </w:r>
      <w:r w:rsidR="00A526BA">
        <w:rPr>
          <w:rFonts w:asciiTheme="minorHAnsi" w:hAnsiTheme="minorHAnsi"/>
          <w:sz w:val="23"/>
          <w:szCs w:val="23"/>
        </w:rPr>
        <w:t>Given that</w:t>
      </w:r>
      <w:r w:rsidR="00152142">
        <w:rPr>
          <w:rFonts w:asciiTheme="minorHAnsi" w:hAnsiTheme="minorHAnsi"/>
          <w:sz w:val="23"/>
          <w:szCs w:val="23"/>
        </w:rPr>
        <w:t>, as</w:t>
      </w:r>
      <w:r w:rsidR="00A526BA">
        <w:rPr>
          <w:rFonts w:asciiTheme="minorHAnsi" w:hAnsiTheme="minorHAnsi"/>
          <w:sz w:val="23"/>
          <w:szCs w:val="23"/>
        </w:rPr>
        <w:t xml:space="preserve"> t</w:t>
      </w:r>
      <w:r w:rsidRPr="00BB0301">
        <w:rPr>
          <w:rFonts w:asciiTheme="minorHAnsi" w:hAnsiTheme="minorHAnsi"/>
          <w:sz w:val="23"/>
          <w:szCs w:val="23"/>
        </w:rPr>
        <w:t xml:space="preserve">he </w:t>
      </w:r>
      <w:r w:rsidRPr="00BB0301">
        <w:rPr>
          <w:rFonts w:asciiTheme="minorHAnsi" w:eastAsia="Arial" w:hAnsiTheme="minorHAnsi" w:cs="Arial"/>
          <w:color w:val="222222"/>
          <w:sz w:val="23"/>
          <w:szCs w:val="23"/>
          <w:highlight w:val="white"/>
        </w:rPr>
        <w:t>Organi</w:t>
      </w:r>
      <w:r w:rsidR="00BB0301">
        <w:rPr>
          <w:rFonts w:asciiTheme="minorHAnsi" w:eastAsia="Arial" w:hAnsiTheme="minorHAnsi" w:cs="Arial"/>
          <w:color w:val="222222"/>
          <w:sz w:val="23"/>
          <w:szCs w:val="23"/>
          <w:highlight w:val="white"/>
        </w:rPr>
        <w:t>z</w:t>
      </w:r>
      <w:r w:rsidRPr="00BB0301">
        <w:rPr>
          <w:rFonts w:asciiTheme="minorHAnsi" w:eastAsia="Arial" w:hAnsiTheme="minorHAnsi" w:cs="Arial"/>
          <w:color w:val="222222"/>
          <w:sz w:val="23"/>
          <w:szCs w:val="23"/>
          <w:highlight w:val="white"/>
        </w:rPr>
        <w:t>ation for Economic Co-operation and Development (</w:t>
      </w:r>
      <w:r w:rsidRPr="00BB0301">
        <w:rPr>
          <w:rFonts w:asciiTheme="minorHAnsi" w:hAnsiTheme="minorHAnsi"/>
          <w:sz w:val="23"/>
          <w:szCs w:val="23"/>
        </w:rPr>
        <w:t>OECD)</w:t>
      </w:r>
      <w:r w:rsidR="00A526BA">
        <w:rPr>
          <w:rFonts w:asciiTheme="minorHAnsi" w:hAnsiTheme="minorHAnsi"/>
          <w:sz w:val="23"/>
          <w:szCs w:val="23"/>
        </w:rPr>
        <w:t xml:space="preserve"> has recently explained</w:t>
      </w:r>
      <w:r w:rsidR="00152142">
        <w:rPr>
          <w:rFonts w:asciiTheme="minorHAnsi" w:hAnsiTheme="minorHAnsi"/>
          <w:sz w:val="23"/>
          <w:szCs w:val="23"/>
        </w:rPr>
        <w:t>,</w:t>
      </w:r>
      <w:r w:rsidRPr="00BB0301">
        <w:rPr>
          <w:rFonts w:asciiTheme="minorHAnsi" w:hAnsiTheme="minorHAnsi"/>
          <w:sz w:val="23"/>
          <w:szCs w:val="23"/>
        </w:rPr>
        <w:t xml:space="preserve"> there is no clear evidence</w:t>
      </w:r>
      <w:r>
        <w:rPr>
          <w:sz w:val="23"/>
          <w:szCs w:val="23"/>
        </w:rPr>
        <w:t xml:space="preserve"> that international investment a</w:t>
      </w:r>
      <w:r w:rsidR="00A526BA">
        <w:rPr>
          <w:sz w:val="23"/>
          <w:szCs w:val="23"/>
        </w:rPr>
        <w:t>greements lead to increased</w:t>
      </w:r>
      <w:r w:rsidR="009408F2">
        <w:rPr>
          <w:sz w:val="23"/>
          <w:szCs w:val="23"/>
        </w:rPr>
        <w:t xml:space="preserve"> foreign direct investment</w:t>
      </w:r>
      <w:r w:rsidR="00716389">
        <w:rPr>
          <w:sz w:val="23"/>
          <w:szCs w:val="23"/>
        </w:rPr>
        <w:t>,</w:t>
      </w:r>
      <w:r w:rsidR="00A526BA">
        <w:rPr>
          <w:sz w:val="23"/>
          <w:szCs w:val="23"/>
        </w:rPr>
        <w:t xml:space="preserve"> nor that</w:t>
      </w:r>
      <w:r>
        <w:rPr>
          <w:sz w:val="23"/>
          <w:szCs w:val="23"/>
        </w:rPr>
        <w:t xml:space="preserve"> any such investments that are influenced by </w:t>
      </w:r>
      <w:r>
        <w:rPr>
          <w:sz w:val="23"/>
          <w:szCs w:val="23"/>
        </w:rPr>
        <w:lastRenderedPageBreak/>
        <w:t xml:space="preserve">the treaties </w:t>
      </w:r>
      <w:r w:rsidR="00716389">
        <w:rPr>
          <w:sz w:val="23"/>
          <w:szCs w:val="23"/>
        </w:rPr>
        <w:t>are</w:t>
      </w:r>
      <w:r>
        <w:rPr>
          <w:sz w:val="23"/>
          <w:szCs w:val="23"/>
        </w:rPr>
        <w:t xml:space="preserve"> positive for either party</w:t>
      </w:r>
      <w:r w:rsidR="00A526BA"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footnoteReference w:id="6"/>
      </w:r>
      <w:r w:rsidR="00A526BA">
        <w:rPr>
          <w:sz w:val="23"/>
          <w:szCs w:val="23"/>
        </w:rPr>
        <w:t xml:space="preserve"> many </w:t>
      </w:r>
      <w:r w:rsidR="00A526BA" w:rsidRPr="00A171D0">
        <w:rPr>
          <w:sz w:val="23"/>
          <w:szCs w:val="23"/>
        </w:rPr>
        <w:t>states have demonstrated that the</w:t>
      </w:r>
      <w:r w:rsidR="00A526BA">
        <w:rPr>
          <w:sz w:val="23"/>
          <w:szCs w:val="23"/>
        </w:rPr>
        <w:t>re are better alternatives for</w:t>
      </w:r>
      <w:r w:rsidR="00A526BA" w:rsidRPr="00A171D0">
        <w:rPr>
          <w:sz w:val="23"/>
          <w:szCs w:val="23"/>
        </w:rPr>
        <w:t xml:space="preserve"> promoting foreign investment</w:t>
      </w:r>
      <w:r w:rsidR="00A526BA">
        <w:rPr>
          <w:sz w:val="23"/>
          <w:szCs w:val="23"/>
        </w:rPr>
        <w:t>.</w:t>
      </w:r>
      <w:r w:rsidR="00FC234D">
        <w:rPr>
          <w:rStyle w:val="FootnoteReference"/>
          <w:sz w:val="23"/>
          <w:szCs w:val="23"/>
        </w:rPr>
        <w:footnoteReference w:id="7"/>
      </w:r>
    </w:p>
    <w:p w14:paraId="15E9775F" w14:textId="77777777" w:rsidR="0056624B" w:rsidRDefault="0056624B">
      <w:pPr>
        <w:pStyle w:val="Normal1"/>
        <w:rPr>
          <w:rFonts w:asciiTheme="minorHAnsi" w:hAnsiTheme="minorHAnsi"/>
          <w:sz w:val="23"/>
          <w:szCs w:val="23"/>
        </w:rPr>
      </w:pPr>
    </w:p>
    <w:p w14:paraId="6CA7843D" w14:textId="77777777" w:rsidR="004568DF" w:rsidRDefault="0056624B" w:rsidP="0056624B">
      <w:pPr>
        <w:rPr>
          <w:sz w:val="23"/>
          <w:szCs w:val="23"/>
        </w:rPr>
      </w:pPr>
      <w:r w:rsidRPr="004568DF">
        <w:rPr>
          <w:b/>
          <w:sz w:val="23"/>
          <w:szCs w:val="23"/>
        </w:rPr>
        <w:t>We therefore encourage you to reject any recommendation supporting the establishment of a multilateral investment court</w:t>
      </w:r>
      <w:r w:rsidR="00792A5E" w:rsidRPr="004568DF">
        <w:rPr>
          <w:b/>
          <w:sz w:val="23"/>
          <w:szCs w:val="23"/>
        </w:rPr>
        <w:t xml:space="preserve"> or other half measures that maintain the fundamental flaws of the ISDS system</w:t>
      </w:r>
      <w:r w:rsidRPr="004568DF">
        <w:rPr>
          <w:b/>
          <w:sz w:val="23"/>
          <w:szCs w:val="23"/>
        </w:rPr>
        <w:t>.</w:t>
      </w:r>
    </w:p>
    <w:p w14:paraId="2EC12FDA" w14:textId="77777777" w:rsidR="004568DF" w:rsidRDefault="004568DF" w:rsidP="0056624B">
      <w:pPr>
        <w:rPr>
          <w:sz w:val="23"/>
          <w:szCs w:val="23"/>
        </w:rPr>
      </w:pPr>
    </w:p>
    <w:p w14:paraId="506D9D40" w14:textId="4CA54FAA" w:rsidR="0056624B" w:rsidRPr="00561D2A" w:rsidRDefault="004568DF" w:rsidP="0056624B">
      <w:pPr>
        <w:rPr>
          <w:b/>
          <w:sz w:val="23"/>
          <w:szCs w:val="23"/>
          <w:u w:val="single"/>
        </w:rPr>
      </w:pPr>
      <w:r w:rsidRPr="00561D2A">
        <w:rPr>
          <w:b/>
          <w:sz w:val="23"/>
          <w:szCs w:val="23"/>
          <w:u w:val="single"/>
        </w:rPr>
        <w:t xml:space="preserve">Instead, we urge you to </w:t>
      </w:r>
      <w:r w:rsidR="008F1AB2" w:rsidRPr="00561D2A">
        <w:rPr>
          <w:b/>
          <w:sz w:val="23"/>
          <w:szCs w:val="23"/>
          <w:u w:val="single"/>
        </w:rPr>
        <w:t xml:space="preserve">use the </w:t>
      </w:r>
      <w:r w:rsidRPr="00561D2A">
        <w:rPr>
          <w:b/>
          <w:sz w:val="23"/>
          <w:szCs w:val="23"/>
          <w:u w:val="single"/>
        </w:rPr>
        <w:t xml:space="preserve">UNCITRAL Working Group III </w:t>
      </w:r>
      <w:r w:rsidR="008F1AB2" w:rsidRPr="00561D2A">
        <w:rPr>
          <w:b/>
          <w:sz w:val="23"/>
          <w:szCs w:val="23"/>
          <w:u w:val="single"/>
        </w:rPr>
        <w:t xml:space="preserve">process to propose and support the following </w:t>
      </w:r>
      <w:r w:rsidR="0056624B" w:rsidRPr="00561D2A">
        <w:rPr>
          <w:b/>
          <w:sz w:val="23"/>
          <w:szCs w:val="23"/>
          <w:u w:val="single"/>
        </w:rPr>
        <w:t>reforms,</w:t>
      </w:r>
      <w:r w:rsidR="005E6D08" w:rsidRPr="00561D2A">
        <w:rPr>
          <w:b/>
          <w:sz w:val="23"/>
          <w:szCs w:val="23"/>
          <w:u w:val="single"/>
        </w:rPr>
        <w:t xml:space="preserve"> </w:t>
      </w:r>
      <w:r w:rsidRPr="00561D2A">
        <w:rPr>
          <w:b/>
          <w:sz w:val="23"/>
          <w:szCs w:val="23"/>
          <w:u w:val="single"/>
        </w:rPr>
        <w:t>which would go much fu</w:t>
      </w:r>
      <w:r w:rsidR="0056624B" w:rsidRPr="00561D2A">
        <w:rPr>
          <w:b/>
          <w:sz w:val="23"/>
          <w:szCs w:val="23"/>
          <w:u w:val="single"/>
        </w:rPr>
        <w:t>rther in add</w:t>
      </w:r>
      <w:r w:rsidR="00C33C6E" w:rsidRPr="00561D2A">
        <w:rPr>
          <w:b/>
          <w:sz w:val="23"/>
          <w:szCs w:val="23"/>
          <w:u w:val="single"/>
        </w:rPr>
        <w:t>ressing the injustices of ISDS:</w:t>
      </w:r>
    </w:p>
    <w:p w14:paraId="162D5798" w14:textId="77777777" w:rsidR="00BB05E3" w:rsidRDefault="00BB05E3">
      <w:pPr>
        <w:pStyle w:val="Normal1"/>
        <w:rPr>
          <w:sz w:val="23"/>
          <w:szCs w:val="23"/>
        </w:rPr>
      </w:pPr>
    </w:p>
    <w:p w14:paraId="07FAF3D4" w14:textId="7CEE1BE0" w:rsidR="00BB05E3" w:rsidRDefault="009408F2"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Facilitate governments moving away</w:t>
      </w:r>
      <w:r w:rsidR="004568DF">
        <w:rPr>
          <w:b/>
          <w:sz w:val="23"/>
          <w:szCs w:val="23"/>
        </w:rPr>
        <w:t xml:space="preserve"> from ISDS and the current investment treaty system</w:t>
      </w:r>
      <w:r w:rsidR="005B7A5E">
        <w:rPr>
          <w:sz w:val="23"/>
          <w:szCs w:val="23"/>
        </w:rPr>
        <w:t xml:space="preserve">: </w:t>
      </w:r>
      <w:r w:rsidR="00346025">
        <w:rPr>
          <w:sz w:val="23"/>
          <w:szCs w:val="23"/>
        </w:rPr>
        <w:t xml:space="preserve">We urge our government to </w:t>
      </w:r>
      <w:r w:rsidR="00346025" w:rsidRPr="00346025">
        <w:rPr>
          <w:sz w:val="23"/>
          <w:szCs w:val="23"/>
        </w:rPr>
        <w:t xml:space="preserve">refrain from signing any new trade and investment pacts that include any form of ISDS and to terminate existing ISDS-enforced treaties. </w:t>
      </w:r>
      <w:r w:rsidR="005B7A5E">
        <w:rPr>
          <w:sz w:val="23"/>
          <w:szCs w:val="23"/>
        </w:rPr>
        <w:t>The UNCITRAL process provides a unique opportunity to lay the basis for states to multilaterally agree</w:t>
      </w:r>
      <w:r w:rsidR="00BB0301">
        <w:rPr>
          <w:sz w:val="23"/>
          <w:szCs w:val="23"/>
        </w:rPr>
        <w:t xml:space="preserve"> to the</w:t>
      </w:r>
      <w:r w:rsidR="005B7A5E">
        <w:rPr>
          <w:sz w:val="23"/>
          <w:szCs w:val="23"/>
        </w:rPr>
        <w:t xml:space="preserve"> termination of investment treaties and/or withdraw consent to arbitrate.</w:t>
      </w:r>
      <w:r w:rsidR="005B7A5E">
        <w:rPr>
          <w:sz w:val="23"/>
          <w:szCs w:val="23"/>
          <w:vertAlign w:val="superscript"/>
        </w:rPr>
        <w:footnoteReference w:id="8"/>
      </w:r>
      <w:r w:rsidR="005B7A5E">
        <w:rPr>
          <w:sz w:val="23"/>
          <w:szCs w:val="23"/>
        </w:rPr>
        <w:t xml:space="preserve"> The working group could recommend that </w:t>
      </w:r>
      <w:r w:rsidR="00346025">
        <w:rPr>
          <w:sz w:val="23"/>
          <w:szCs w:val="23"/>
        </w:rPr>
        <w:t xml:space="preserve">governments </w:t>
      </w:r>
      <w:r w:rsidR="005B7A5E">
        <w:rPr>
          <w:sz w:val="23"/>
          <w:szCs w:val="23"/>
        </w:rPr>
        <w:t>negotiate a</w:t>
      </w:r>
      <w:r w:rsidR="00346025">
        <w:rPr>
          <w:sz w:val="23"/>
          <w:szCs w:val="23"/>
        </w:rPr>
        <w:t>n opt-in</w:t>
      </w:r>
      <w:r w:rsidR="005B7A5E">
        <w:rPr>
          <w:sz w:val="23"/>
          <w:szCs w:val="23"/>
        </w:rPr>
        <w:t xml:space="preserve"> multilateral instrument</w:t>
      </w:r>
      <w:r w:rsidR="00346025">
        <w:rPr>
          <w:sz w:val="23"/>
          <w:szCs w:val="23"/>
        </w:rPr>
        <w:t xml:space="preserve">, where each state could </w:t>
      </w:r>
      <w:r w:rsidR="005B7A5E">
        <w:rPr>
          <w:sz w:val="23"/>
          <w:szCs w:val="23"/>
        </w:rPr>
        <w:t>specif</w:t>
      </w:r>
      <w:r w:rsidR="00346025">
        <w:rPr>
          <w:sz w:val="23"/>
          <w:szCs w:val="23"/>
        </w:rPr>
        <w:t xml:space="preserve">y </w:t>
      </w:r>
      <w:r w:rsidR="005B7A5E">
        <w:rPr>
          <w:sz w:val="23"/>
          <w:szCs w:val="23"/>
        </w:rPr>
        <w:t xml:space="preserve">the treaties </w:t>
      </w:r>
      <w:r w:rsidR="00346025">
        <w:rPr>
          <w:sz w:val="23"/>
          <w:szCs w:val="23"/>
        </w:rPr>
        <w:t>it</w:t>
      </w:r>
      <w:r w:rsidR="005B7A5E">
        <w:rPr>
          <w:sz w:val="23"/>
          <w:szCs w:val="23"/>
        </w:rPr>
        <w:t xml:space="preserve"> seek</w:t>
      </w:r>
      <w:r w:rsidR="00346025">
        <w:rPr>
          <w:sz w:val="23"/>
          <w:szCs w:val="23"/>
        </w:rPr>
        <w:t>s</w:t>
      </w:r>
      <w:r w:rsidR="005B7A5E">
        <w:rPr>
          <w:sz w:val="23"/>
          <w:szCs w:val="23"/>
        </w:rPr>
        <w:t xml:space="preserve"> to terminate, indicate</w:t>
      </w:r>
      <w:r w:rsidR="00346025">
        <w:rPr>
          <w:sz w:val="23"/>
          <w:szCs w:val="23"/>
        </w:rPr>
        <w:t xml:space="preserve"> its intention to waive any notice periods or other conditions for termination by its treaty partners, indicate that it aims to amend underlying treaties to eliminate “survival clauses</w:t>
      </w:r>
      <w:r w:rsidR="00716389">
        <w:rPr>
          <w:sz w:val="23"/>
          <w:szCs w:val="23"/>
        </w:rPr>
        <w:t>,</w:t>
      </w:r>
      <w:r w:rsidR="00346025">
        <w:rPr>
          <w:sz w:val="23"/>
          <w:szCs w:val="23"/>
        </w:rPr>
        <w:t>”</w:t>
      </w:r>
      <w:r w:rsidR="005B7A5E">
        <w:rPr>
          <w:sz w:val="23"/>
          <w:szCs w:val="23"/>
        </w:rPr>
        <w:t xml:space="preserve"> </w:t>
      </w:r>
      <w:r w:rsidR="00346025">
        <w:rPr>
          <w:sz w:val="23"/>
          <w:szCs w:val="23"/>
        </w:rPr>
        <w:t>and affirm</w:t>
      </w:r>
      <w:r w:rsidR="005B7A5E">
        <w:rPr>
          <w:sz w:val="23"/>
          <w:szCs w:val="23"/>
        </w:rPr>
        <w:t xml:space="preserve"> commitment</w:t>
      </w:r>
      <w:r w:rsidR="00346025">
        <w:rPr>
          <w:sz w:val="23"/>
          <w:szCs w:val="23"/>
        </w:rPr>
        <w:t>s</w:t>
      </w:r>
      <w:r w:rsidR="005B7A5E">
        <w:rPr>
          <w:sz w:val="23"/>
          <w:szCs w:val="23"/>
        </w:rPr>
        <w:t xml:space="preserve"> to provide </w:t>
      </w:r>
      <w:r w:rsidR="00346025">
        <w:rPr>
          <w:sz w:val="23"/>
          <w:szCs w:val="23"/>
        </w:rPr>
        <w:t>foreign investors with protections under</w:t>
      </w:r>
      <w:r w:rsidR="005B7A5E">
        <w:rPr>
          <w:sz w:val="23"/>
          <w:szCs w:val="23"/>
        </w:rPr>
        <w:t xml:space="preserve"> customary international law. This </w:t>
      </w:r>
      <w:r w:rsidR="005E6D08">
        <w:rPr>
          <w:sz w:val="23"/>
          <w:szCs w:val="23"/>
        </w:rPr>
        <w:t xml:space="preserve">multilateral </w:t>
      </w:r>
      <w:r w:rsidR="005B7A5E">
        <w:rPr>
          <w:sz w:val="23"/>
          <w:szCs w:val="23"/>
        </w:rPr>
        <w:t>approach would</w:t>
      </w:r>
      <w:r w:rsidR="005E6D08">
        <w:rPr>
          <w:sz w:val="23"/>
          <w:szCs w:val="23"/>
        </w:rPr>
        <w:t xml:space="preserve"> lessen the pressure on any one government</w:t>
      </w:r>
      <w:r w:rsidR="00346025">
        <w:rPr>
          <w:sz w:val="23"/>
          <w:szCs w:val="23"/>
        </w:rPr>
        <w:t xml:space="preserve"> that is considering terminating its treaties, allowing countries to coordinate and </w:t>
      </w:r>
      <w:r w:rsidR="004568DF">
        <w:rPr>
          <w:sz w:val="23"/>
          <w:szCs w:val="23"/>
        </w:rPr>
        <w:t xml:space="preserve">make clear that their treaty termination is directed at the flawed ISDS system, not at foreign investors, and is taken in accordance with international law. </w:t>
      </w:r>
    </w:p>
    <w:p w14:paraId="4168CFE7" w14:textId="77777777" w:rsidR="00BB05E3" w:rsidRDefault="00BB05E3">
      <w:pPr>
        <w:pStyle w:val="Normal1"/>
        <w:rPr>
          <w:sz w:val="23"/>
          <w:szCs w:val="23"/>
        </w:rPr>
      </w:pPr>
    </w:p>
    <w:p w14:paraId="09A98DEB" w14:textId="053B7ED0" w:rsidR="008F1AB2" w:rsidRDefault="004568DF">
      <w:pPr>
        <w:pStyle w:val="Normal1"/>
        <w:rPr>
          <w:sz w:val="23"/>
          <w:szCs w:val="23"/>
        </w:rPr>
      </w:pPr>
      <w:r>
        <w:rPr>
          <w:sz w:val="23"/>
          <w:szCs w:val="23"/>
        </w:rPr>
        <w:t>As interim measure</w:t>
      </w:r>
      <w:r w:rsidR="008F1AB2">
        <w:rPr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 w:rsidR="005B7A5E">
        <w:rPr>
          <w:sz w:val="23"/>
          <w:szCs w:val="23"/>
        </w:rPr>
        <w:t xml:space="preserve">the working group could </w:t>
      </w:r>
      <w:r w:rsidR="00716389">
        <w:rPr>
          <w:sz w:val="23"/>
          <w:szCs w:val="23"/>
        </w:rPr>
        <w:t xml:space="preserve">also </w:t>
      </w:r>
      <w:r w:rsidR="005B7A5E">
        <w:rPr>
          <w:sz w:val="23"/>
          <w:szCs w:val="23"/>
        </w:rPr>
        <w:t>recommend</w:t>
      </w:r>
      <w:r w:rsidR="009408F2">
        <w:rPr>
          <w:sz w:val="23"/>
          <w:szCs w:val="23"/>
        </w:rPr>
        <w:t xml:space="preserve"> multilateral approaches to</w:t>
      </w:r>
      <w:r w:rsidR="008F1AB2">
        <w:rPr>
          <w:sz w:val="23"/>
          <w:szCs w:val="23"/>
        </w:rPr>
        <w:t>:</w:t>
      </w:r>
    </w:p>
    <w:p w14:paraId="76734CE2" w14:textId="77777777" w:rsidR="008F1AB2" w:rsidRDefault="008F1AB2">
      <w:pPr>
        <w:pStyle w:val="Normal1"/>
        <w:rPr>
          <w:sz w:val="23"/>
          <w:szCs w:val="23"/>
        </w:rPr>
      </w:pPr>
    </w:p>
    <w:p w14:paraId="01F60579" w14:textId="088036A2" w:rsidR="00BB05E3" w:rsidRDefault="008F1AB2">
      <w:pPr>
        <w:pStyle w:val="Normal1"/>
        <w:rPr>
          <w:sz w:val="23"/>
          <w:szCs w:val="23"/>
        </w:rPr>
      </w:pPr>
      <w:r w:rsidRPr="008F1AB2">
        <w:rPr>
          <w:b/>
          <w:sz w:val="23"/>
          <w:szCs w:val="23"/>
        </w:rPr>
        <w:t>Withdraw consent to arbitration:</w:t>
      </w:r>
      <w:r>
        <w:rPr>
          <w:sz w:val="23"/>
          <w:szCs w:val="23"/>
        </w:rPr>
        <w:t xml:space="preserve">  The working group could recommend</w:t>
      </w:r>
      <w:r w:rsidR="005B7A5E">
        <w:rPr>
          <w:sz w:val="23"/>
          <w:szCs w:val="23"/>
        </w:rPr>
        <w:t xml:space="preserve"> a multilateral instrument to withdraw consent to ISDS</w:t>
      </w:r>
      <w:r w:rsidR="00BB0301">
        <w:rPr>
          <w:sz w:val="23"/>
          <w:szCs w:val="23"/>
        </w:rPr>
        <w:t>,</w:t>
      </w:r>
      <w:r w:rsidR="005B7A5E">
        <w:rPr>
          <w:sz w:val="23"/>
          <w:szCs w:val="23"/>
        </w:rPr>
        <w:t xml:space="preserve"> </w:t>
      </w:r>
      <w:r w:rsidR="004568DF">
        <w:rPr>
          <w:sz w:val="23"/>
          <w:szCs w:val="23"/>
        </w:rPr>
        <w:t>which would maintain the substantive obligations of their existing treaties, and would allow</w:t>
      </w:r>
      <w:r w:rsidR="005B7A5E">
        <w:rPr>
          <w:sz w:val="23"/>
          <w:szCs w:val="23"/>
        </w:rPr>
        <w:t xml:space="preserve"> disputes to be settled only through state-state dispute settlement mechanisms.</w:t>
      </w:r>
    </w:p>
    <w:p w14:paraId="3C1186CB" w14:textId="77777777" w:rsidR="00792A5E" w:rsidRDefault="00792A5E">
      <w:pPr>
        <w:pStyle w:val="Normal1"/>
        <w:rPr>
          <w:sz w:val="23"/>
          <w:szCs w:val="23"/>
        </w:rPr>
      </w:pPr>
    </w:p>
    <w:p w14:paraId="745ACFFA" w14:textId="6717D00C" w:rsidR="008F1AB2" w:rsidRPr="008E2FD9" w:rsidRDefault="008F1AB2" w:rsidP="008F1AB2">
      <w:pPr>
        <w:pStyle w:val="Normal1"/>
        <w:rPr>
          <w:rFonts w:asciiTheme="minorHAnsi" w:hAnsiTheme="minorHAnsi"/>
          <w:sz w:val="23"/>
          <w:szCs w:val="23"/>
        </w:rPr>
      </w:pPr>
      <w:r>
        <w:rPr>
          <w:b/>
          <w:sz w:val="23"/>
          <w:szCs w:val="23"/>
        </w:rPr>
        <w:t>Require exhaustion of domestic remedies</w:t>
      </w:r>
      <w:r>
        <w:rPr>
          <w:sz w:val="23"/>
          <w:szCs w:val="23"/>
        </w:rPr>
        <w:t xml:space="preserve">: The working group could recommend that members adopt a legal instrument requiring investors </w:t>
      </w:r>
      <w:r w:rsidRPr="008E2FD9">
        <w:rPr>
          <w:rFonts w:asciiTheme="minorHAnsi" w:hAnsiTheme="minorHAnsi"/>
          <w:sz w:val="23"/>
          <w:szCs w:val="23"/>
        </w:rPr>
        <w:t>to exhaust domestic remedies</w:t>
      </w:r>
      <w:r>
        <w:rPr>
          <w:rFonts w:asciiTheme="minorHAnsi" w:hAnsiTheme="minorHAnsi"/>
          <w:sz w:val="23"/>
          <w:szCs w:val="23"/>
        </w:rPr>
        <w:t xml:space="preserve"> before allowing investment arbitration</w:t>
      </w:r>
      <w:r w:rsidRPr="008E2FD9">
        <w:rPr>
          <w:rFonts w:asciiTheme="minorHAnsi" w:hAnsiTheme="minorHAnsi"/>
          <w:sz w:val="23"/>
          <w:szCs w:val="23"/>
        </w:rPr>
        <w:t xml:space="preserve">. </w:t>
      </w:r>
      <w:r>
        <w:rPr>
          <w:sz w:val="23"/>
          <w:szCs w:val="23"/>
        </w:rPr>
        <w:t xml:space="preserve">The ability of investors to challenge a state directly </w:t>
      </w:r>
      <w:r>
        <w:rPr>
          <w:sz w:val="23"/>
          <w:szCs w:val="23"/>
        </w:rPr>
        <w:lastRenderedPageBreak/>
        <w:t>in an ISDS tribunal without resorting to domestic courts first is an anomaly in international law and contrary to international human rights law and customary international law.</w:t>
      </w:r>
      <w:r w:rsidRPr="00A171D0">
        <w:rPr>
          <w:sz w:val="23"/>
          <w:szCs w:val="23"/>
        </w:rPr>
        <w:t xml:space="preserve"> </w:t>
      </w:r>
      <w:r w:rsidRPr="008E2FD9">
        <w:rPr>
          <w:rFonts w:asciiTheme="minorHAnsi" w:hAnsiTheme="minorHAnsi"/>
          <w:sz w:val="23"/>
          <w:szCs w:val="23"/>
        </w:rPr>
        <w:t>States and regional economic communities including Argentina, India, Romania, Turkey, the United Arab Emirates, Uruguay, the Southern Afri</w:t>
      </w:r>
      <w:r>
        <w:rPr>
          <w:rFonts w:asciiTheme="minorHAnsi" w:hAnsiTheme="minorHAnsi"/>
          <w:sz w:val="23"/>
          <w:szCs w:val="23"/>
        </w:rPr>
        <w:t>can Development Community</w:t>
      </w:r>
      <w:r w:rsidRPr="008E2FD9">
        <w:rPr>
          <w:rFonts w:asciiTheme="minorHAnsi" w:hAnsiTheme="minorHAnsi"/>
          <w:sz w:val="23"/>
          <w:szCs w:val="23"/>
        </w:rPr>
        <w:t xml:space="preserve">, and </w:t>
      </w:r>
      <w:r>
        <w:rPr>
          <w:rFonts w:asciiTheme="minorHAnsi" w:hAnsiTheme="minorHAnsi"/>
          <w:sz w:val="23"/>
          <w:szCs w:val="23"/>
        </w:rPr>
        <w:t>the East African Community</w:t>
      </w:r>
      <w:r w:rsidRPr="008E2FD9">
        <w:rPr>
          <w:rFonts w:asciiTheme="minorHAnsi" w:hAnsiTheme="minorHAnsi"/>
          <w:sz w:val="23"/>
          <w:szCs w:val="23"/>
        </w:rPr>
        <w:t xml:space="preserve"> have required investors to pursue or exhaust local remedies before resorting to ISDS.</w:t>
      </w:r>
      <w:r w:rsidRPr="008E2FD9">
        <w:rPr>
          <w:rFonts w:asciiTheme="minorHAnsi" w:hAnsiTheme="minorHAnsi"/>
          <w:sz w:val="23"/>
          <w:szCs w:val="23"/>
          <w:vertAlign w:val="superscript"/>
        </w:rPr>
        <w:footnoteReference w:id="9"/>
      </w:r>
      <w:r w:rsidRPr="008E2FD9">
        <w:rPr>
          <w:rFonts w:asciiTheme="minorHAnsi" w:hAnsiTheme="minorHAnsi"/>
          <w:sz w:val="23"/>
          <w:szCs w:val="23"/>
        </w:rPr>
        <w:t xml:space="preserve"> </w:t>
      </w:r>
    </w:p>
    <w:p w14:paraId="023D10F6" w14:textId="77777777" w:rsidR="008F1AB2" w:rsidRDefault="008F1AB2">
      <w:pPr>
        <w:pStyle w:val="Normal1"/>
        <w:rPr>
          <w:sz w:val="23"/>
          <w:szCs w:val="23"/>
        </w:rPr>
      </w:pPr>
    </w:p>
    <w:p w14:paraId="4BBD7CAE" w14:textId="567CA018" w:rsidR="00BB05E3" w:rsidRPr="00F551A4" w:rsidRDefault="008F1AB2" w:rsidP="00F551A4">
      <w:pPr>
        <w:pStyle w:val="Normal1"/>
        <w:rPr>
          <w:b/>
          <w:sz w:val="23"/>
          <w:szCs w:val="23"/>
        </w:rPr>
      </w:pPr>
      <w:r w:rsidRPr="008F1AB2">
        <w:rPr>
          <w:b/>
          <w:sz w:val="23"/>
          <w:szCs w:val="23"/>
        </w:rPr>
        <w:t>Ban third-party funding</w:t>
      </w:r>
      <w:r w:rsidR="0029348C">
        <w:rPr>
          <w:b/>
          <w:sz w:val="23"/>
          <w:szCs w:val="23"/>
        </w:rPr>
        <w:t xml:space="preserve"> in ISDS cases</w:t>
      </w:r>
      <w:r w:rsidRPr="008F1AB2">
        <w:rPr>
          <w:b/>
          <w:sz w:val="23"/>
          <w:szCs w:val="23"/>
        </w:rPr>
        <w:t xml:space="preserve">: </w:t>
      </w:r>
      <w:r w:rsidR="008B181D">
        <w:rPr>
          <w:b/>
          <w:sz w:val="23"/>
          <w:szCs w:val="23"/>
        </w:rPr>
        <w:t xml:space="preserve"> </w:t>
      </w:r>
      <w:r w:rsidR="00F551A4">
        <w:t xml:space="preserve">The working group could recommend that governments should ban third-party funding.  </w:t>
      </w:r>
      <w:r w:rsidR="0029348C">
        <w:t xml:space="preserve">Increasingly, hedge funds have begun investing in ISDS claims, as the potentially high damages have made </w:t>
      </w:r>
      <w:r w:rsidR="00F551A4">
        <w:t>ISDS</w:t>
      </w:r>
      <w:r w:rsidR="0029348C">
        <w:t xml:space="preserve"> a new and highly attractive market for third-party funding (</w:t>
      </w:r>
      <w:r w:rsidR="00F551A4">
        <w:t xml:space="preserve">i.e., </w:t>
      </w:r>
      <w:r w:rsidR="0029348C">
        <w:t xml:space="preserve">providing finance for litigation in return for a stake in a legal claim and percentage of </w:t>
      </w:r>
      <w:r w:rsidR="00F551A4">
        <w:t>the award).</w:t>
      </w:r>
      <w:r w:rsidR="00404D5C">
        <w:rPr>
          <w:rStyle w:val="FootnoteReference"/>
        </w:rPr>
        <w:footnoteReference w:id="10"/>
      </w:r>
      <w:r w:rsidR="00F551A4">
        <w:t xml:space="preserve">  This third-party funding gives a small, already privileged class of foreign investors even more resources to launch claims against governments in the unbalanced system where only corporations can be claimants and raises serious concerns, including p</w:t>
      </w:r>
      <w:r w:rsidR="00404D5C">
        <w:t xml:space="preserve">otential conflicts of interests, </w:t>
      </w:r>
      <w:r w:rsidR="00716389">
        <w:t xml:space="preserve">about </w:t>
      </w:r>
      <w:r w:rsidR="00404D5C">
        <w:t xml:space="preserve">the </w:t>
      </w:r>
      <w:r w:rsidR="00F551A4">
        <w:t>ability of respondent states to recover costs awarded against unsuccessful and insolvent claima</w:t>
      </w:r>
      <w:r w:rsidR="00404D5C">
        <w:t xml:space="preserve">nts, and confusion as to the fundamental question of </w:t>
      </w:r>
      <w:r w:rsidR="00F551A4">
        <w:t xml:space="preserve"> who is the claimant</w:t>
      </w:r>
      <w:r w:rsidR="00404D5C">
        <w:t>/</w:t>
      </w:r>
      <w:r w:rsidR="00F551A4">
        <w:t xml:space="preserve">investor, and whether that investor is – and should be – protected under international investment treaties. </w:t>
      </w:r>
      <w:r w:rsidR="00B54FD5">
        <w:rPr>
          <w:rStyle w:val="FootnoteReference"/>
        </w:rPr>
        <w:footnoteReference w:id="11"/>
      </w:r>
    </w:p>
    <w:p w14:paraId="302BED5E" w14:textId="77777777" w:rsidR="00F551A4" w:rsidRPr="008E2FD9" w:rsidRDefault="00F551A4" w:rsidP="00F55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Theme="minorHAnsi" w:hAnsiTheme="minorHAnsi" w:cs="Times New Roman"/>
          <w:color w:val="auto"/>
          <w:sz w:val="23"/>
          <w:szCs w:val="23"/>
        </w:rPr>
      </w:pPr>
    </w:p>
    <w:p w14:paraId="7E867AF9" w14:textId="09264C35" w:rsidR="007764D6" w:rsidRPr="00A171D0" w:rsidRDefault="007764D6" w:rsidP="007764D6">
      <w:pPr>
        <w:widowControl w:val="0"/>
        <w:autoSpaceDE w:val="0"/>
        <w:autoSpaceDN w:val="0"/>
        <w:adjustRightInd w:val="0"/>
        <w:rPr>
          <w:rFonts w:cs="AppleSystemUIFont"/>
          <w:sz w:val="23"/>
          <w:szCs w:val="23"/>
        </w:rPr>
      </w:pPr>
      <w:r>
        <w:rPr>
          <w:sz w:val="23"/>
          <w:szCs w:val="23"/>
        </w:rPr>
        <w:t xml:space="preserve">Unfortunately, </w:t>
      </w:r>
      <w:r w:rsidRPr="007D65E0">
        <w:rPr>
          <w:b/>
          <w:sz w:val="23"/>
          <w:szCs w:val="23"/>
        </w:rPr>
        <w:t xml:space="preserve">the </w:t>
      </w:r>
      <w:r w:rsidR="005074D8" w:rsidRPr="007D65E0">
        <w:rPr>
          <w:b/>
          <w:sz w:val="23"/>
          <w:szCs w:val="23"/>
        </w:rPr>
        <w:t>E</w:t>
      </w:r>
      <w:r w:rsidR="007E3024" w:rsidRPr="007D65E0">
        <w:rPr>
          <w:b/>
          <w:sz w:val="23"/>
          <w:szCs w:val="23"/>
        </w:rPr>
        <w:t>U</w:t>
      </w:r>
      <w:r w:rsidR="008B181D" w:rsidRPr="007D65E0">
        <w:rPr>
          <w:b/>
          <w:sz w:val="23"/>
          <w:szCs w:val="23"/>
        </w:rPr>
        <w:t>’s MIC proposal would only serve to further entrench and institutionalize problematic rights for foreign investo</w:t>
      </w:r>
      <w:r w:rsidR="008B181D">
        <w:rPr>
          <w:sz w:val="23"/>
          <w:szCs w:val="23"/>
        </w:rPr>
        <w:t>rs at a time when our government has the opportunity to reclaim our sovereignty and policy space to protect the public interest without concern for extrajudicial attacks from foreign investors.</w:t>
      </w:r>
    </w:p>
    <w:p w14:paraId="3F650411" w14:textId="77777777" w:rsidR="00BB05E3" w:rsidRPr="008E2FD9" w:rsidRDefault="00BB05E3">
      <w:pPr>
        <w:pStyle w:val="Normal1"/>
        <w:widowControl w:val="0"/>
        <w:rPr>
          <w:rFonts w:asciiTheme="minorHAnsi" w:hAnsiTheme="minorHAnsi"/>
          <w:color w:val="auto"/>
          <w:sz w:val="23"/>
          <w:szCs w:val="23"/>
        </w:rPr>
      </w:pPr>
    </w:p>
    <w:p w14:paraId="2159C663" w14:textId="77777777" w:rsidR="00BB05E3" w:rsidRDefault="005B7A5E">
      <w:pPr>
        <w:pStyle w:val="Normal1"/>
        <w:widowControl w:val="0"/>
        <w:jc w:val="center"/>
        <w:rPr>
          <w:sz w:val="23"/>
          <w:szCs w:val="23"/>
        </w:rPr>
      </w:pPr>
      <w:r>
        <w:rPr>
          <w:sz w:val="23"/>
          <w:szCs w:val="23"/>
        </w:rPr>
        <w:t>* * *</w:t>
      </w:r>
    </w:p>
    <w:p w14:paraId="507CB322" w14:textId="55B04886" w:rsidR="003E2BC8" w:rsidRDefault="003E2BC8" w:rsidP="003E2BC8">
      <w:pPr>
        <w:widowControl w:val="0"/>
        <w:autoSpaceDE w:val="0"/>
        <w:autoSpaceDN w:val="0"/>
        <w:adjustRightInd w:val="0"/>
        <w:rPr>
          <w:rFonts w:cs="AppleSystemUIFont"/>
          <w:sz w:val="23"/>
          <w:szCs w:val="23"/>
        </w:rPr>
      </w:pPr>
      <w:r w:rsidRPr="00A171D0">
        <w:rPr>
          <w:rFonts w:cs="AppleSystemUIFont"/>
          <w:sz w:val="23"/>
          <w:szCs w:val="23"/>
        </w:rPr>
        <w:t>We would welcome the opportunity to discuss</w:t>
      </w:r>
      <w:r>
        <w:rPr>
          <w:rFonts w:cs="AppleSystemUIFont"/>
          <w:sz w:val="23"/>
          <w:szCs w:val="23"/>
        </w:rPr>
        <w:t xml:space="preserve"> the UNCITRAL deliberations and</w:t>
      </w:r>
      <w:r w:rsidRPr="00A171D0">
        <w:rPr>
          <w:rFonts w:cs="AppleSystemUIFont"/>
          <w:sz w:val="23"/>
          <w:szCs w:val="23"/>
        </w:rPr>
        <w:t xml:space="preserve"> the</w:t>
      </w:r>
      <w:r>
        <w:rPr>
          <w:rFonts w:cs="AppleSystemUIFont"/>
          <w:sz w:val="23"/>
          <w:szCs w:val="23"/>
        </w:rPr>
        <w:t xml:space="preserve"> above-mentioned</w:t>
      </w:r>
      <w:r w:rsidRPr="00A171D0">
        <w:rPr>
          <w:rFonts w:cs="AppleSystemUIFont"/>
          <w:sz w:val="23"/>
          <w:szCs w:val="23"/>
        </w:rPr>
        <w:t xml:space="preserve"> alternatives with you in more detail</w:t>
      </w:r>
      <w:r>
        <w:rPr>
          <w:rFonts w:cs="AppleSystemUIFont"/>
          <w:sz w:val="23"/>
          <w:szCs w:val="23"/>
        </w:rPr>
        <w:t xml:space="preserve"> and would be grateful if you were available </w:t>
      </w:r>
      <w:r w:rsidR="00716389">
        <w:rPr>
          <w:rFonts w:cs="AppleSystemUIFont"/>
          <w:sz w:val="23"/>
          <w:szCs w:val="23"/>
        </w:rPr>
        <w:t>to meet</w:t>
      </w:r>
      <w:r>
        <w:rPr>
          <w:rFonts w:cs="AppleSystemUIFont"/>
          <w:sz w:val="23"/>
          <w:szCs w:val="23"/>
        </w:rPr>
        <w:t xml:space="preserve"> before the next </w:t>
      </w:r>
      <w:r w:rsidR="008B181D">
        <w:rPr>
          <w:rFonts w:cs="AppleSystemUIFont"/>
          <w:sz w:val="23"/>
          <w:szCs w:val="23"/>
        </w:rPr>
        <w:t xml:space="preserve">meeting of the </w:t>
      </w:r>
      <w:r>
        <w:rPr>
          <w:rFonts w:cs="AppleSystemUIFont"/>
          <w:sz w:val="23"/>
          <w:szCs w:val="23"/>
        </w:rPr>
        <w:t xml:space="preserve">UNCITRAL </w:t>
      </w:r>
      <w:r w:rsidR="008B181D">
        <w:rPr>
          <w:rFonts w:cs="AppleSystemUIFont"/>
          <w:sz w:val="23"/>
          <w:szCs w:val="23"/>
        </w:rPr>
        <w:t xml:space="preserve">Working Group III that will take place in Vienna in October 2018.  </w:t>
      </w:r>
    </w:p>
    <w:p w14:paraId="699E7703" w14:textId="77777777" w:rsidR="003E2BC8" w:rsidRDefault="003E2BC8" w:rsidP="003E2BC8">
      <w:pPr>
        <w:widowControl w:val="0"/>
        <w:autoSpaceDE w:val="0"/>
        <w:autoSpaceDN w:val="0"/>
        <w:adjustRightInd w:val="0"/>
        <w:rPr>
          <w:rFonts w:cs="AppleSystemUIFont"/>
          <w:sz w:val="23"/>
          <w:szCs w:val="23"/>
        </w:rPr>
      </w:pPr>
    </w:p>
    <w:p w14:paraId="5AF101F5" w14:textId="75EFB212" w:rsidR="003E2BC8" w:rsidRPr="00651F8F" w:rsidRDefault="003E2BC8" w:rsidP="00651F8F">
      <w:pPr>
        <w:widowControl w:val="0"/>
        <w:autoSpaceDE w:val="0"/>
        <w:autoSpaceDN w:val="0"/>
        <w:adjustRightInd w:val="0"/>
        <w:rPr>
          <w:rFonts w:cs="AppleSystemUIFont"/>
          <w:sz w:val="23"/>
          <w:szCs w:val="23"/>
        </w:rPr>
      </w:pPr>
      <w:r>
        <w:rPr>
          <w:rFonts w:cs="AppleSystemUIFont"/>
          <w:sz w:val="23"/>
          <w:szCs w:val="23"/>
        </w:rPr>
        <w:t>W</w:t>
      </w:r>
      <w:r w:rsidRPr="00A171D0">
        <w:rPr>
          <w:rFonts w:cs="AppleSystemUIFont"/>
          <w:sz w:val="23"/>
          <w:szCs w:val="23"/>
        </w:rPr>
        <w:t>e thank you for your representation of our nati</w:t>
      </w:r>
      <w:r w:rsidR="008B181D">
        <w:rPr>
          <w:rFonts w:cs="AppleSystemUIFont"/>
          <w:sz w:val="23"/>
          <w:szCs w:val="23"/>
        </w:rPr>
        <w:t>on’s interests at the UNCITRAL Working G</w:t>
      </w:r>
      <w:r w:rsidRPr="00A171D0">
        <w:rPr>
          <w:rFonts w:cs="AppleSystemUIFont"/>
          <w:sz w:val="23"/>
          <w:szCs w:val="23"/>
        </w:rPr>
        <w:t>roup</w:t>
      </w:r>
      <w:r w:rsidR="008B181D">
        <w:rPr>
          <w:rFonts w:cs="AppleSystemUIFont"/>
          <w:sz w:val="23"/>
          <w:szCs w:val="23"/>
        </w:rPr>
        <w:t xml:space="preserve"> III</w:t>
      </w:r>
      <w:r w:rsidRPr="00A171D0">
        <w:rPr>
          <w:rFonts w:cs="AppleSystemUIFont"/>
          <w:sz w:val="23"/>
          <w:szCs w:val="23"/>
        </w:rPr>
        <w:t xml:space="preserve">. </w:t>
      </w:r>
    </w:p>
    <w:sectPr w:rsidR="003E2BC8" w:rsidRPr="00651F8F">
      <w:headerReference w:type="default" r:id="rId7"/>
      <w:footerReference w:type="even" r:id="rId8"/>
      <w:footerReference w:type="default" r:id="rId9"/>
      <w:pgSz w:w="12240" w:h="15840"/>
      <w:pgMar w:top="1440" w:right="1656" w:bottom="1440" w:left="16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47B2" w14:textId="77777777" w:rsidR="00175338" w:rsidRDefault="00175338">
      <w:r>
        <w:separator/>
      </w:r>
    </w:p>
  </w:endnote>
  <w:endnote w:type="continuationSeparator" w:id="0">
    <w:p w14:paraId="5E905B8D" w14:textId="77777777" w:rsidR="00175338" w:rsidRDefault="0017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2E8C" w14:textId="77777777" w:rsidR="00175338" w:rsidRDefault="0017533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F089722" w14:textId="77777777" w:rsidR="00175338" w:rsidRDefault="00175338">
    <w:pPr>
      <w:pStyle w:val="Normal1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4444" w14:textId="1AEE4EA6" w:rsidR="00175338" w:rsidRDefault="0017533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02AFC">
      <w:rPr>
        <w:noProof/>
      </w:rPr>
      <w:t>1</w:t>
    </w:r>
    <w:r>
      <w:fldChar w:fldCharType="end"/>
    </w:r>
  </w:p>
  <w:p w14:paraId="56B8CAC1" w14:textId="77777777" w:rsidR="00175338" w:rsidRDefault="00175338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A3D0" w14:textId="77777777" w:rsidR="00175338" w:rsidRDefault="00175338">
      <w:r>
        <w:separator/>
      </w:r>
    </w:p>
  </w:footnote>
  <w:footnote w:type="continuationSeparator" w:id="0">
    <w:p w14:paraId="09A34937" w14:textId="77777777" w:rsidR="00175338" w:rsidRDefault="00175338">
      <w:r>
        <w:continuationSeparator/>
      </w:r>
    </w:p>
  </w:footnote>
  <w:footnote w:id="1">
    <w:p w14:paraId="10709F13" w14:textId="77777777" w:rsidR="00175338" w:rsidRPr="005E3DC0" w:rsidRDefault="00175338" w:rsidP="0022476C">
      <w:pPr>
        <w:pStyle w:val="FootnoteText"/>
        <w:rPr>
          <w:sz w:val="20"/>
          <w:szCs w:val="20"/>
        </w:rPr>
      </w:pPr>
      <w:r w:rsidRPr="005E3DC0">
        <w:rPr>
          <w:rStyle w:val="FootnoteReference"/>
          <w:sz w:val="20"/>
          <w:szCs w:val="20"/>
        </w:rPr>
        <w:footnoteRef/>
      </w:r>
      <w:r w:rsidRPr="005E3DC0">
        <w:rPr>
          <w:sz w:val="20"/>
          <w:szCs w:val="20"/>
        </w:rPr>
        <w:t xml:space="preserve"> For the UNCITRAL working group mandate, see: </w:t>
      </w:r>
      <w:hyperlink r:id="rId1" w:history="1">
        <w:r w:rsidRPr="005E3DC0">
          <w:rPr>
            <w:rStyle w:val="Hyperlink"/>
            <w:sz w:val="20"/>
            <w:szCs w:val="20"/>
          </w:rPr>
          <w:t>http://www.uncitral.org/pdf/english/workinggroups/wg_3/WGIII-34th-session/930_for_the_website.pdf</w:t>
        </w:r>
      </w:hyperlink>
      <w:r w:rsidRPr="005E3DC0">
        <w:rPr>
          <w:sz w:val="20"/>
          <w:szCs w:val="20"/>
        </w:rPr>
        <w:t xml:space="preserve">, para. 6. </w:t>
      </w:r>
    </w:p>
  </w:footnote>
  <w:footnote w:id="2">
    <w:p w14:paraId="4B934A48" w14:textId="77777777" w:rsidR="00175338" w:rsidRPr="005E3DC0" w:rsidRDefault="00175338" w:rsidP="0022476C">
      <w:pPr>
        <w:pStyle w:val="FootnoteText"/>
        <w:rPr>
          <w:sz w:val="20"/>
          <w:szCs w:val="20"/>
        </w:rPr>
      </w:pPr>
      <w:r w:rsidRPr="005E3DC0">
        <w:rPr>
          <w:rStyle w:val="FootnoteReference"/>
          <w:sz w:val="20"/>
          <w:szCs w:val="20"/>
        </w:rPr>
        <w:footnoteRef/>
      </w:r>
      <w:r w:rsidRPr="005E3DC0">
        <w:rPr>
          <w:sz w:val="20"/>
          <w:szCs w:val="20"/>
        </w:rPr>
        <w:t xml:space="preserve"> For details about the European Commission’s proposal, see: http://trade.ec.europa.eu/doclib/press/index.cfm?id=1608</w:t>
      </w:r>
    </w:p>
  </w:footnote>
  <w:footnote w:id="3">
    <w:p w14:paraId="089BEAA9" w14:textId="77777777" w:rsidR="00175338" w:rsidRDefault="00175338" w:rsidP="00A526BA">
      <w:pPr>
        <w:pStyle w:val="Normal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For an analysis of the European Commission’s proposal, see: http://www.ciel.org/wp-content/uploads/2017/12/AWorldCourtForCorporations.pdf</w:t>
      </w:r>
    </w:p>
  </w:footnote>
  <w:footnote w:id="4">
    <w:p w14:paraId="012FE1D8" w14:textId="77777777" w:rsidR="00175338" w:rsidRPr="005E3DC0" w:rsidRDefault="00175338" w:rsidP="00C75B5E">
      <w:pPr>
        <w:rPr>
          <w:rFonts w:eastAsia="Times New Roman" w:cs="Times New Roman"/>
          <w:sz w:val="20"/>
          <w:szCs w:val="20"/>
        </w:rPr>
      </w:pPr>
      <w:r w:rsidRPr="005E3DC0">
        <w:rPr>
          <w:rStyle w:val="FootnoteReference"/>
          <w:sz w:val="20"/>
          <w:szCs w:val="20"/>
        </w:rPr>
        <w:footnoteRef/>
      </w:r>
      <w:r w:rsidRPr="005E3DC0">
        <w:rPr>
          <w:sz w:val="20"/>
          <w:szCs w:val="20"/>
        </w:rPr>
        <w:t xml:space="preserve"> See, e.g., Nikos Lavr</w:t>
      </w:r>
      <w:r>
        <w:rPr>
          <w:sz w:val="20"/>
          <w:szCs w:val="20"/>
        </w:rPr>
        <w:t>a</w:t>
      </w:r>
      <w:r w:rsidRPr="005E3DC0">
        <w:rPr>
          <w:sz w:val="20"/>
          <w:szCs w:val="20"/>
        </w:rPr>
        <w:t xml:space="preserve">nos, noting that “if this MIC is – even potentially- able to interpret and apply EU law, it will not be accepted by the EU’s top court.” Borderlex,  “Insight: The end of Intra-EU BITs: What next?” 7 March, 2018, </w:t>
      </w:r>
      <w:hyperlink r:id="rId2" w:history="1">
        <w:r w:rsidRPr="007064C1">
          <w:rPr>
            <w:rStyle w:val="Hyperlink"/>
            <w:sz w:val="20"/>
            <w:szCs w:val="20"/>
          </w:rPr>
          <w:t>http://borderlex.eu/comment-end-of-intra-eu-bits-what-next/</w:t>
        </w:r>
      </w:hyperlink>
      <w:r w:rsidRPr="005E3DC0">
        <w:rPr>
          <w:sz w:val="20"/>
          <w:szCs w:val="20"/>
        </w:rPr>
        <w:t>.</w:t>
      </w:r>
      <w:r>
        <w:rPr>
          <w:sz w:val="20"/>
          <w:szCs w:val="20"/>
        </w:rPr>
        <w:t xml:space="preserve"> [Maybe we can use a different reference, in govs have a negative perception of Nikos…, like </w:t>
      </w:r>
      <w:hyperlink r:id="rId3" w:history="1">
        <w:r w:rsidRPr="007064C1">
          <w:rPr>
            <w:rStyle w:val="Hyperlink"/>
            <w:sz w:val="20"/>
            <w:szCs w:val="20"/>
          </w:rPr>
          <w:t>http://worldtradelaw.typepad.com/ielpblog/2018/03/guest-post-the-cjeu-strikes-again-in-achmea-is-this-the-end-of-investor-state-arbitration-under-intr.html</w:t>
        </w:r>
      </w:hyperlink>
      <w:r>
        <w:rPr>
          <w:sz w:val="20"/>
          <w:szCs w:val="20"/>
        </w:rPr>
        <w:t xml:space="preserve"> ]</w:t>
      </w:r>
    </w:p>
  </w:footnote>
  <w:footnote w:id="5">
    <w:p w14:paraId="6F7932E3" w14:textId="77777777" w:rsidR="00175338" w:rsidRDefault="00175338">
      <w:pPr>
        <w:pStyle w:val="Normal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For a list of options presented by UNCTAD, see: </w:t>
      </w:r>
      <w:hyperlink r:id="rId4">
        <w:r>
          <w:rPr>
            <w:color w:val="0000FF"/>
            <w:sz w:val="20"/>
            <w:szCs w:val="20"/>
            <w:u w:val="single"/>
          </w:rPr>
          <w:t>http://unctad.org/meetings/en/SessionalDocuments/ciimem4d14_en.pdf</w:t>
        </w:r>
      </w:hyperlink>
      <w:r>
        <w:rPr>
          <w:sz w:val="20"/>
          <w:szCs w:val="20"/>
        </w:rPr>
        <w:t xml:space="preserve">. </w:t>
      </w:r>
    </w:p>
  </w:footnote>
  <w:footnote w:id="6">
    <w:p w14:paraId="40810EED" w14:textId="77777777" w:rsidR="00175338" w:rsidRDefault="00175338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Joachim Pohl, “Societal benefits and costs of International Investment Agreements: A critical review of aspects and available empirical evidence”, OECD Working Papers on International Investment, 2018/01, OECD Publishing, Paris, available at,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http://dx.doi.org/10.1787/e5f85c3d-en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pp. 14-36, 37-39; Johnson et al., Costs and Benefits of Investment Treaties: </w:t>
      </w:r>
      <w:r>
        <w:rPr>
          <w:sz w:val="20"/>
          <w:szCs w:val="20"/>
        </w:rPr>
        <w:t>Practical considerations for States (CCSI 2018).</w:t>
      </w:r>
    </w:p>
  </w:footnote>
  <w:footnote w:id="7">
    <w:p w14:paraId="71074120" w14:textId="201F7978" w:rsidR="00175338" w:rsidRDefault="001753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34D">
        <w:rPr>
          <w:rFonts w:ascii="Cambria" w:eastAsia="Cambria" w:hAnsi="Cambria" w:cs="Cambria"/>
          <w:sz w:val="20"/>
          <w:szCs w:val="20"/>
        </w:rPr>
        <w:t xml:space="preserve">See, e.g., The EU-Indonesia CEPA negotiations, Responding to calls for an investment policy reset: are the EU and Indonesia on the same page?, pp. 20-23, SOMO, 15 February 2018, </w:t>
      </w:r>
      <w:hyperlink r:id="rId6">
        <w:r w:rsidRPr="00FC234D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https://www.somo.nl/eu-indonesia-cepa-negotiations/</w:t>
        </w:r>
      </w:hyperlink>
      <w:r w:rsidRPr="00FC234D">
        <w:rPr>
          <w:rFonts w:ascii="Cambria" w:eastAsia="Cambria" w:hAnsi="Cambria" w:cs="Cambria"/>
          <w:sz w:val="20"/>
          <w:szCs w:val="20"/>
        </w:rPr>
        <w:t>.</w:t>
      </w:r>
    </w:p>
  </w:footnote>
  <w:footnote w:id="8">
    <w:p w14:paraId="32266507" w14:textId="77777777" w:rsidR="00175338" w:rsidRDefault="00175338">
      <w:pPr>
        <w:pStyle w:val="Normal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Matthew C. Porterfield, </w:t>
      </w:r>
      <w:hyperlink r:id="rId7">
        <w:r>
          <w:rPr>
            <w:color w:val="0000FF"/>
            <w:sz w:val="20"/>
            <w:szCs w:val="20"/>
            <w:u w:val="single"/>
          </w:rPr>
          <w:t>Aron Broches and the Withdrawal of Unilateral Consent in Investor-State Arbitration</w:t>
        </w:r>
      </w:hyperlink>
      <w:r>
        <w:rPr>
          <w:sz w:val="20"/>
          <w:szCs w:val="20"/>
        </w:rPr>
        <w:t xml:space="preserve">, Investment Treaty News (August 11, 2014) (discussing legal basis for and implications of withdrawals of consent); Rob Howse, </w:t>
      </w:r>
      <w:hyperlink r:id="rId8">
        <w:r>
          <w:rPr>
            <w:color w:val="0000FF"/>
            <w:sz w:val="20"/>
            <w:szCs w:val="20"/>
            <w:u w:val="single"/>
          </w:rPr>
          <w:t>A Short Cut to Pulling out of Investor-State Arbitration under Treaties: Just Say No</w:t>
        </w:r>
      </w:hyperlink>
      <w:r>
        <w:rPr>
          <w:sz w:val="20"/>
          <w:szCs w:val="20"/>
        </w:rPr>
        <w:t>, International Economic Law and Policy Blog (March 9, 2017).</w:t>
      </w:r>
    </w:p>
  </w:footnote>
  <w:footnote w:id="9">
    <w:p w14:paraId="5AE9A41A" w14:textId="77777777" w:rsidR="008F1AB2" w:rsidRDefault="008F1AB2" w:rsidP="008F1AB2">
      <w:pPr>
        <w:pStyle w:val="Normal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03F49"/>
          <w:sz w:val="20"/>
          <w:szCs w:val="20"/>
        </w:rPr>
        <w:t>Martin Dietrich Brauch, 'IISD Best Practices Series: Exhaustion of Local Remedies in International Investment Law'(IISD, January 2017) available at https://www.iisd.org/library/iisd-best-practices-series-exhaustion-local-remedies-international-investment-law.</w:t>
      </w:r>
    </w:p>
  </w:footnote>
  <w:footnote w:id="10">
    <w:p w14:paraId="151D8F0B" w14:textId="135CCB2A" w:rsidR="00404D5C" w:rsidRDefault="00404D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FD5">
        <w:rPr>
          <w:rFonts w:ascii="Cambria" w:eastAsia="Cambria" w:hAnsi="Cambria" w:cs="Cambria"/>
          <w:color w:val="303F49"/>
          <w:sz w:val="20"/>
          <w:szCs w:val="20"/>
        </w:rPr>
        <w:t xml:space="preserve">Frank Garcia et al. ‘The Case Against Third-Party Funding in ISDS: Executive Summary’ (Boston University Faculty Papers, </w:t>
      </w:r>
      <w:r w:rsidR="00B54FD5" w:rsidRPr="00B54FD5">
        <w:rPr>
          <w:rFonts w:ascii="Cambria" w:eastAsia="Cambria" w:hAnsi="Cambria" w:cs="Cambria"/>
          <w:color w:val="303F49"/>
          <w:sz w:val="20"/>
          <w:szCs w:val="20"/>
        </w:rPr>
        <w:t xml:space="preserve">April 2018) </w:t>
      </w:r>
      <w:r w:rsidRPr="00B54FD5">
        <w:rPr>
          <w:rFonts w:ascii="Cambria" w:eastAsia="Cambria" w:hAnsi="Cambria" w:cs="Cambria"/>
          <w:color w:val="303F49"/>
          <w:sz w:val="20"/>
          <w:szCs w:val="20"/>
        </w:rPr>
        <w:t>http://lawdigitalcommons.bc.edu/lsfp/1126/</w:t>
      </w:r>
    </w:p>
  </w:footnote>
  <w:footnote w:id="11">
    <w:p w14:paraId="6CA8CEC2" w14:textId="5D6B2A80" w:rsidR="00B54FD5" w:rsidRDefault="00B54FD5">
      <w:pPr>
        <w:pStyle w:val="FootnoteText"/>
      </w:pPr>
      <w:r>
        <w:rPr>
          <w:rStyle w:val="FootnoteReference"/>
        </w:rPr>
        <w:footnoteRef/>
      </w:r>
      <w:r w:rsidRPr="00B54FD5">
        <w:rPr>
          <w:rFonts w:ascii="Cambria" w:eastAsia="Cambria" w:hAnsi="Cambria" w:cs="Cambria"/>
          <w:color w:val="303F49"/>
          <w:sz w:val="20"/>
          <w:szCs w:val="20"/>
        </w:rPr>
        <w:t>Columbia Center on Sustainable Investment, ‘Illustrative Suggestions for Amendments to the ICSID Arbitration Rules’ (CCSI, March 2017) available at http://ccsi.columbia.edu/files/2017/04/ICSID-Rule-Revisions-Comment-31-March-17-FINAL.pdf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B707" w14:textId="77777777" w:rsidR="0012224F" w:rsidRDefault="0012224F" w:rsidP="0012224F">
    <w:pPr>
      <w:pStyle w:val="Normal1"/>
      <w:jc w:val="center"/>
      <w:rPr>
        <w:sz w:val="23"/>
        <w:szCs w:val="23"/>
      </w:rPr>
    </w:pPr>
    <w:r>
      <w:rPr>
        <w:sz w:val="23"/>
        <w:szCs w:val="23"/>
      </w:rPr>
      <w:t>Annex A: DRAFT Model L</w:t>
    </w:r>
    <w:r w:rsidRPr="00F1763E">
      <w:rPr>
        <w:sz w:val="23"/>
        <w:szCs w:val="23"/>
      </w:rPr>
      <w:t xml:space="preserve">etter </w:t>
    </w:r>
    <w:r>
      <w:rPr>
        <w:sz w:val="23"/>
        <w:szCs w:val="23"/>
      </w:rPr>
      <w:t>for PSI Affiliates to National Governments re: UNCITRAL</w:t>
    </w:r>
  </w:p>
  <w:p w14:paraId="7C5E15F1" w14:textId="66DB2919" w:rsidR="00175338" w:rsidRDefault="00175338" w:rsidP="007833A8">
    <w:pPr>
      <w:pStyle w:val="Normal1"/>
      <w:jc w:val="center"/>
      <w:rPr>
        <w:sz w:val="23"/>
        <w:szCs w:val="23"/>
      </w:rPr>
    </w:pPr>
    <w:bookmarkStart w:id="1" w:name="_gjdgxs" w:colFirst="0" w:colLast="0"/>
    <w:bookmarkEnd w:id="1"/>
  </w:p>
  <w:p w14:paraId="427DBA25" w14:textId="77777777" w:rsidR="00175338" w:rsidRDefault="00175338" w:rsidP="007833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3"/>
    <w:rsid w:val="00080F42"/>
    <w:rsid w:val="0012224F"/>
    <w:rsid w:val="00134710"/>
    <w:rsid w:val="00152142"/>
    <w:rsid w:val="00175338"/>
    <w:rsid w:val="0019575F"/>
    <w:rsid w:val="002024B4"/>
    <w:rsid w:val="00202AFC"/>
    <w:rsid w:val="0022476C"/>
    <w:rsid w:val="00270A00"/>
    <w:rsid w:val="0029348C"/>
    <w:rsid w:val="00346025"/>
    <w:rsid w:val="003E2BC8"/>
    <w:rsid w:val="00404D5C"/>
    <w:rsid w:val="004568DF"/>
    <w:rsid w:val="004F7F3E"/>
    <w:rsid w:val="005074D8"/>
    <w:rsid w:val="00557F8E"/>
    <w:rsid w:val="00561D2A"/>
    <w:rsid w:val="0056624B"/>
    <w:rsid w:val="00587638"/>
    <w:rsid w:val="0059536B"/>
    <w:rsid w:val="005B321E"/>
    <w:rsid w:val="005B7A5E"/>
    <w:rsid w:val="005C3BA6"/>
    <w:rsid w:val="005E58B2"/>
    <w:rsid w:val="005E6D08"/>
    <w:rsid w:val="00651F8F"/>
    <w:rsid w:val="006618E7"/>
    <w:rsid w:val="00716389"/>
    <w:rsid w:val="007764D6"/>
    <w:rsid w:val="007833A8"/>
    <w:rsid w:val="00792A5E"/>
    <w:rsid w:val="007D65E0"/>
    <w:rsid w:val="007E3024"/>
    <w:rsid w:val="00867733"/>
    <w:rsid w:val="0089427E"/>
    <w:rsid w:val="008A6BAE"/>
    <w:rsid w:val="008B181D"/>
    <w:rsid w:val="008D70D4"/>
    <w:rsid w:val="008E2FD9"/>
    <w:rsid w:val="008F1AB2"/>
    <w:rsid w:val="009408F2"/>
    <w:rsid w:val="00A526BA"/>
    <w:rsid w:val="00B54FD5"/>
    <w:rsid w:val="00BB0301"/>
    <w:rsid w:val="00BB05E3"/>
    <w:rsid w:val="00BF094E"/>
    <w:rsid w:val="00C33C6E"/>
    <w:rsid w:val="00C75B5E"/>
    <w:rsid w:val="00DE252A"/>
    <w:rsid w:val="00E27C54"/>
    <w:rsid w:val="00E45E60"/>
    <w:rsid w:val="00E60DB3"/>
    <w:rsid w:val="00F16509"/>
    <w:rsid w:val="00F1763E"/>
    <w:rsid w:val="00F32004"/>
    <w:rsid w:val="00F32CFA"/>
    <w:rsid w:val="00F551A4"/>
    <w:rsid w:val="00F72067"/>
    <w:rsid w:val="00F92C12"/>
    <w:rsid w:val="00FC234D"/>
    <w:rsid w:val="00FD01C4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C5209"/>
  <w15:docId w15:val="{4C932079-D396-4A14-A24D-49D52C3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5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24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76C"/>
    <w:rPr>
      <w:rFonts w:asciiTheme="minorHAnsi" w:eastAsiaTheme="minorEastAsia" w:hAnsiTheme="minorHAnsi" w:cstheme="minorBidi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2247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7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C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C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A8"/>
  </w:style>
  <w:style w:type="paragraph" w:styleId="Footer">
    <w:name w:val="footer"/>
    <w:basedOn w:val="Normal"/>
    <w:link w:val="FooterChar"/>
    <w:uiPriority w:val="99"/>
    <w:unhideWhenUsed/>
    <w:rsid w:val="0078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tradelaw.typepad.com/ielpblog/2017/03/a-short-cut-to-pulling-out-of-investor-state-arbitration-under-treatiesjust-say-no.html" TargetMode="External"/><Relationship Id="rId3" Type="http://schemas.openxmlformats.org/officeDocument/2006/relationships/hyperlink" Target="http://worldtradelaw.typepad.com/ielpblog/2018/03/guest-post-the-cjeu-strikes-again-in-achmea-is-this-the-end-of-investor-state-arbitration-under-intr.html" TargetMode="External"/><Relationship Id="rId7" Type="http://schemas.openxmlformats.org/officeDocument/2006/relationships/hyperlink" Target="https://www.iisd.org/itn/2014/08/11/aron-broches-and-the-withdrawal-of-unilateral-offers-of-consent-to-investor-state-arbitration/" TargetMode="External"/><Relationship Id="rId2" Type="http://schemas.openxmlformats.org/officeDocument/2006/relationships/hyperlink" Target="http://borderlex.eu/comment-end-of-intra-eu-bits-what-next/" TargetMode="External"/><Relationship Id="rId1" Type="http://schemas.openxmlformats.org/officeDocument/2006/relationships/hyperlink" Target="http://www.uncitral.org/pdf/english/workinggroups/wg_3/WGIII-34th-session/930_for_the_website.pdf" TargetMode="External"/><Relationship Id="rId6" Type="http://schemas.openxmlformats.org/officeDocument/2006/relationships/hyperlink" Target="https://www.somo.nl/eu-indonesia-cepa-negotiations/" TargetMode="External"/><Relationship Id="rId5" Type="http://schemas.openxmlformats.org/officeDocument/2006/relationships/hyperlink" Target="http://dx.doi.org/10.1787/e5f85c3d-en" TargetMode="External"/><Relationship Id="rId4" Type="http://schemas.openxmlformats.org/officeDocument/2006/relationships/hyperlink" Target="http://unctad.org/meetings/en/SessionalDocuments/ciimem4d14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1398-7AF7-444F-B692-D4A70B18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Citizen, Inc.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St. Louis</dc:creator>
  <cp:lastModifiedBy>Daniel Bertossa</cp:lastModifiedBy>
  <cp:revision>2</cp:revision>
  <dcterms:created xsi:type="dcterms:W3CDTF">2018-07-01T21:51:00Z</dcterms:created>
  <dcterms:modified xsi:type="dcterms:W3CDTF">2018-07-01T21:51:00Z</dcterms:modified>
</cp:coreProperties>
</file>